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b/>
          <w:sz w:val="32"/>
          <w:szCs w:val="32"/>
          <w:lang w:val="en-US" w:eastAsia="zh-CN"/>
        </w:rPr>
      </w:pPr>
      <w:r>
        <w:rPr>
          <w:rFonts w:hint="eastAsia" w:asciiTheme="minorEastAsia" w:hAnsiTheme="minorEastAsia"/>
          <w:b/>
          <w:sz w:val="32"/>
          <w:szCs w:val="32"/>
          <w:lang w:eastAsia="zh-CN"/>
        </w:rPr>
        <w:t>附件</w:t>
      </w:r>
      <w:r>
        <w:rPr>
          <w:rFonts w:hint="eastAsia" w:asciiTheme="minorEastAsia" w:hAnsiTheme="minorEastAsia"/>
          <w:b/>
          <w:sz w:val="32"/>
          <w:szCs w:val="32"/>
          <w:lang w:val="en-US" w:eastAsia="zh-CN"/>
        </w:rPr>
        <w:t>4</w:t>
      </w:r>
    </w:p>
    <w:p>
      <w:pPr>
        <w:jc w:val="center"/>
        <w:rPr>
          <w:rFonts w:hint="eastAsia" w:ascii="黑体" w:hAnsi="黑体" w:eastAsia="黑体" w:cs="黑体"/>
          <w:sz w:val="32"/>
          <w:szCs w:val="32"/>
          <w:lang w:eastAsia="zh-CN"/>
        </w:rPr>
      </w:pPr>
      <w:r>
        <w:rPr>
          <w:rFonts w:hint="eastAsia" w:asciiTheme="minorEastAsia" w:hAnsiTheme="minorEastAsia"/>
          <w:b/>
          <w:sz w:val="32"/>
          <w:szCs w:val="32"/>
        </w:rPr>
        <w:t>枣庄</w:t>
      </w:r>
      <w:r>
        <w:rPr>
          <w:rFonts w:hint="eastAsia" w:asciiTheme="minorEastAsia" w:hAnsiTheme="minorEastAsia"/>
          <w:b/>
          <w:sz w:val="32"/>
          <w:szCs w:val="32"/>
          <w:lang w:eastAsia="zh-CN"/>
        </w:rPr>
        <w:t>台儿庄古城管理委员会</w:t>
      </w:r>
      <w:r>
        <w:rPr>
          <w:rFonts w:hint="eastAsia" w:asciiTheme="minorEastAsia" w:hAnsiTheme="minorEastAsia"/>
          <w:b/>
          <w:sz w:val="32"/>
          <w:szCs w:val="32"/>
        </w:rPr>
        <w:t>行政</w:t>
      </w:r>
      <w:r>
        <w:rPr>
          <w:rFonts w:hint="eastAsia" w:asciiTheme="minorEastAsia" w:hAnsiTheme="minorEastAsia"/>
          <w:b/>
          <w:sz w:val="32"/>
          <w:szCs w:val="32"/>
          <w:lang w:eastAsia="zh-CN"/>
        </w:rPr>
        <w:t>强制</w:t>
      </w:r>
      <w:r>
        <w:rPr>
          <w:rFonts w:hint="eastAsia" w:asciiTheme="minorEastAsia" w:hAnsiTheme="minorEastAsia"/>
          <w:b/>
          <w:sz w:val="32"/>
          <w:szCs w:val="32"/>
        </w:rPr>
        <w:t>权力事项清单</w:t>
      </w:r>
    </w:p>
    <w:p>
      <w:pPr>
        <w:rPr>
          <w:rFonts w:hint="eastAsia"/>
          <w:lang w:eastAsia="zh-CN"/>
        </w:rPr>
      </w:pPr>
    </w:p>
    <w:tbl>
      <w:tblPr>
        <w:tblStyle w:val="13"/>
        <w:tblW w:w="14434"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2824"/>
        <w:gridCol w:w="3900"/>
        <w:gridCol w:w="1560"/>
        <w:gridCol w:w="1410"/>
        <w:gridCol w:w="1500"/>
        <w:gridCol w:w="144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00" w:type="dxa"/>
            <w:vAlign w:val="center"/>
          </w:tcPr>
          <w:p>
            <w:pPr>
              <w:jc w:val="center"/>
              <w:rPr>
                <w:rFonts w:hint="eastAsia"/>
                <w:vertAlign w:val="baseline"/>
                <w:lang w:eastAsia="zh-CN"/>
              </w:rPr>
            </w:pPr>
            <w:r>
              <w:rPr>
                <w:rFonts w:hint="eastAsia" w:asciiTheme="minorEastAsia" w:hAnsiTheme="minorEastAsia"/>
                <w:b/>
                <w:kern w:val="0"/>
                <w:sz w:val="20"/>
                <w:szCs w:val="21"/>
              </w:rPr>
              <w:t>序号</w:t>
            </w:r>
          </w:p>
        </w:tc>
        <w:tc>
          <w:tcPr>
            <w:tcW w:w="2824" w:type="dxa"/>
            <w:vAlign w:val="center"/>
          </w:tcPr>
          <w:p>
            <w:pPr>
              <w:jc w:val="center"/>
              <w:rPr>
                <w:rFonts w:hint="eastAsia" w:asciiTheme="minorEastAsia" w:hAnsiTheme="minorEastAsia"/>
                <w:b/>
                <w:kern w:val="0"/>
                <w:sz w:val="20"/>
                <w:szCs w:val="21"/>
                <w:lang w:eastAsia="zh-CN"/>
              </w:rPr>
            </w:pPr>
            <w:r>
              <w:rPr>
                <w:rFonts w:hint="eastAsia" w:asciiTheme="minorEastAsia" w:hAnsiTheme="minorEastAsia"/>
                <w:b/>
                <w:kern w:val="0"/>
                <w:sz w:val="20"/>
                <w:szCs w:val="21"/>
                <w:lang w:eastAsia="zh-CN"/>
              </w:rPr>
              <w:t>事项名称</w:t>
            </w:r>
          </w:p>
        </w:tc>
        <w:tc>
          <w:tcPr>
            <w:tcW w:w="3900" w:type="dxa"/>
            <w:vAlign w:val="center"/>
          </w:tcPr>
          <w:p>
            <w:pPr>
              <w:jc w:val="center"/>
              <w:rPr>
                <w:rFonts w:hint="eastAsia" w:asciiTheme="minorEastAsia" w:hAnsiTheme="minorEastAsia"/>
                <w:b/>
                <w:kern w:val="0"/>
                <w:sz w:val="20"/>
                <w:szCs w:val="21"/>
                <w:lang w:eastAsia="zh-CN"/>
              </w:rPr>
            </w:pPr>
            <w:r>
              <w:rPr>
                <w:rFonts w:hint="eastAsia" w:asciiTheme="minorEastAsia" w:hAnsiTheme="minorEastAsia"/>
                <w:b/>
                <w:kern w:val="0"/>
                <w:sz w:val="20"/>
                <w:szCs w:val="21"/>
                <w:lang w:eastAsia="zh-CN"/>
              </w:rPr>
              <w:t>法律依据</w:t>
            </w:r>
          </w:p>
        </w:tc>
        <w:tc>
          <w:tcPr>
            <w:tcW w:w="1560" w:type="dxa"/>
            <w:vAlign w:val="center"/>
          </w:tcPr>
          <w:p>
            <w:pPr>
              <w:jc w:val="center"/>
              <w:rPr>
                <w:rFonts w:hint="eastAsia" w:asciiTheme="minorEastAsia" w:hAnsiTheme="minorEastAsia"/>
                <w:b/>
                <w:kern w:val="0"/>
                <w:sz w:val="20"/>
                <w:szCs w:val="21"/>
                <w:lang w:eastAsia="zh-CN"/>
              </w:rPr>
            </w:pPr>
            <w:r>
              <w:rPr>
                <w:rFonts w:hint="eastAsia" w:asciiTheme="minorEastAsia" w:hAnsiTheme="minorEastAsia"/>
                <w:b/>
                <w:kern w:val="0"/>
                <w:sz w:val="20"/>
                <w:szCs w:val="21"/>
                <w:lang w:eastAsia="zh-CN"/>
              </w:rPr>
              <w:t>法定期限</w:t>
            </w:r>
          </w:p>
        </w:tc>
        <w:tc>
          <w:tcPr>
            <w:tcW w:w="1410" w:type="dxa"/>
            <w:vAlign w:val="center"/>
          </w:tcPr>
          <w:p>
            <w:pPr>
              <w:ind w:firstLine="201" w:firstLineChars="100"/>
              <w:jc w:val="center"/>
              <w:rPr>
                <w:rFonts w:hint="eastAsia" w:asciiTheme="minorEastAsia" w:hAnsiTheme="minorEastAsia"/>
                <w:b/>
                <w:kern w:val="0"/>
                <w:sz w:val="20"/>
                <w:szCs w:val="21"/>
                <w:lang w:eastAsia="zh-CN"/>
              </w:rPr>
            </w:pPr>
            <w:r>
              <w:rPr>
                <w:rFonts w:hint="eastAsia" w:asciiTheme="minorEastAsia" w:hAnsiTheme="minorEastAsia"/>
                <w:b/>
                <w:kern w:val="0"/>
                <w:sz w:val="20"/>
                <w:szCs w:val="21"/>
                <w:lang w:eastAsia="zh-CN"/>
              </w:rPr>
              <w:t>承诺期限</w:t>
            </w:r>
          </w:p>
        </w:tc>
        <w:tc>
          <w:tcPr>
            <w:tcW w:w="1500" w:type="dxa"/>
            <w:vAlign w:val="center"/>
          </w:tcPr>
          <w:p>
            <w:pPr>
              <w:jc w:val="center"/>
              <w:rPr>
                <w:rFonts w:hint="eastAsia" w:asciiTheme="minorEastAsia" w:hAnsiTheme="minorEastAsia"/>
                <w:b/>
                <w:kern w:val="0"/>
                <w:sz w:val="20"/>
                <w:szCs w:val="21"/>
                <w:lang w:eastAsia="zh-CN"/>
              </w:rPr>
            </w:pPr>
            <w:r>
              <w:rPr>
                <w:rFonts w:hint="eastAsia" w:asciiTheme="minorEastAsia" w:hAnsiTheme="minorEastAsia"/>
                <w:b/>
                <w:kern w:val="0"/>
                <w:sz w:val="20"/>
                <w:szCs w:val="21"/>
                <w:lang w:eastAsia="zh-CN"/>
              </w:rPr>
              <w:t>强制执行方式</w:t>
            </w:r>
          </w:p>
        </w:tc>
        <w:tc>
          <w:tcPr>
            <w:tcW w:w="1440" w:type="dxa"/>
            <w:vAlign w:val="center"/>
          </w:tcPr>
          <w:p>
            <w:pPr>
              <w:jc w:val="center"/>
              <w:rPr>
                <w:rFonts w:hint="eastAsia" w:asciiTheme="minorEastAsia" w:hAnsiTheme="minorEastAsia"/>
                <w:b/>
                <w:kern w:val="0"/>
                <w:sz w:val="20"/>
                <w:szCs w:val="21"/>
                <w:lang w:eastAsia="zh-CN"/>
              </w:rPr>
            </w:pPr>
            <w:r>
              <w:rPr>
                <w:rFonts w:hint="eastAsia" w:asciiTheme="minorEastAsia" w:hAnsiTheme="minorEastAsia"/>
                <w:b/>
                <w:kern w:val="0"/>
                <w:sz w:val="20"/>
                <w:szCs w:val="21"/>
                <w:lang w:eastAsia="zh-CN"/>
              </w:rPr>
              <w:t>强制措施方式</w:t>
            </w:r>
          </w:p>
        </w:tc>
        <w:tc>
          <w:tcPr>
            <w:tcW w:w="1200" w:type="dxa"/>
            <w:vAlign w:val="center"/>
          </w:tcPr>
          <w:p>
            <w:pPr>
              <w:jc w:val="center"/>
              <w:rPr>
                <w:rFonts w:hint="eastAsia" w:asciiTheme="minorEastAsia" w:hAnsiTheme="minorEastAsia"/>
                <w:b/>
                <w:kern w:val="0"/>
                <w:sz w:val="20"/>
                <w:szCs w:val="21"/>
                <w:lang w:eastAsia="zh-CN"/>
              </w:rPr>
            </w:pPr>
            <w:r>
              <w:rPr>
                <w:rFonts w:hint="eastAsia" w:asciiTheme="minorEastAsia" w:hAnsiTheme="minorEastAsia"/>
                <w:b/>
                <w:kern w:val="0"/>
                <w:sz w:val="20"/>
                <w:szCs w:val="21"/>
                <w:lang w:eastAsia="zh-CN"/>
              </w:rPr>
              <w:t>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top"/>
          </w:tcPr>
          <w:p>
            <w:pPr>
              <w:jc w:val="cente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1</w:t>
            </w:r>
          </w:p>
        </w:tc>
        <w:tc>
          <w:tcPr>
            <w:tcW w:w="2824"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不符合城镇容貌标准、环境卫生标准的建筑物或者设施的</w:t>
            </w:r>
          </w:p>
        </w:tc>
        <w:tc>
          <w:tcPr>
            <w:tcW w:w="390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rPr>
              <w:t>《城市市容和环境卫生管理条例》（1992年6月28日中华人民共和国国务院令第101号，2011年1月8日修订）第三十七条：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山东省台儿庄古城保护管理条例》（2013年11月29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2015〕136号）枣庄台儿庄古城管理委员会，在台儿庄古城内集中行使下列具体职权：（一）市容环境卫生管理方面法律、法规、规章规定的行政处罚权；上述行政处罚权相对集中后，枣庄台儿庄古城管理委员会依法行使相关法律、法规和规章规定的行政强制措施权和执法监督检查权。</w:t>
            </w:r>
          </w:p>
        </w:tc>
        <w:tc>
          <w:tcPr>
            <w:tcW w:w="156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41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500" w:type="dxa"/>
            <w:vAlign w:val="top"/>
          </w:tcPr>
          <w:p>
            <w:pPr>
              <w:jc w:val="cente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申请人民法院强制执行</w:t>
            </w:r>
          </w:p>
        </w:tc>
        <w:tc>
          <w:tcPr>
            <w:tcW w:w="1440" w:type="dxa"/>
            <w:vAlign w:val="top"/>
          </w:tcPr>
          <w:p>
            <w:pPr>
              <w:rPr>
                <w:rFonts w:hint="eastAsia" w:ascii="Calibri" w:hAnsi="Calibri" w:eastAsia="宋体" w:cs="Times New Roman"/>
                <w:b w:val="0"/>
                <w:kern w:val="2"/>
                <w:sz w:val="21"/>
                <w:szCs w:val="24"/>
                <w:vertAlign w:val="baseline"/>
                <w:lang w:val="en-US" w:eastAsia="zh-CN" w:bidi="ar-SA"/>
              </w:rPr>
            </w:pPr>
          </w:p>
        </w:tc>
        <w:tc>
          <w:tcPr>
            <w:tcW w:w="1200" w:type="dxa"/>
            <w:vAlign w:val="top"/>
          </w:tcPr>
          <w:p>
            <w:pPr>
              <w:rPr>
                <w:rFonts w:hint="eastAsia" w:ascii="Calibri" w:hAnsi="Calibri" w:eastAsia="宋体" w:cs="Times New Roman"/>
                <w:b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top"/>
          </w:tcPr>
          <w:p>
            <w:pPr>
              <w:jc w:val="cente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2</w:t>
            </w:r>
          </w:p>
        </w:tc>
        <w:tc>
          <w:tcPr>
            <w:tcW w:w="2824"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作出责令停止建设或者限期拆除的决定后，当事人不停止建设或者逾期不拆除的，采取查封施工现场、强制拆除等措施</w:t>
            </w:r>
          </w:p>
        </w:tc>
        <w:tc>
          <w:tcPr>
            <w:tcW w:w="390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rPr>
              <w:t>《城乡规划法》（2007年10月28日中华人民共和国主席令第74号）第六十八条：城乡规划主管部门作出责令停止建设或者限期拆除的决定后，当事人不停止建设或者逾期不拆除的，建设工程所在地县级以上地方人民政府可以责成有关部门采取查封施工现场、强制拆除等措施。《山东省台儿庄古城保护管理条例》（2013年11月29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2015〕136号）枣庄台儿庄古城管理委员会，在台儿庄古城内集中行使下列具体职权：（二）城市规划管理方面法律、法规、规章规定的行政处罚权；上述行政处罚权相对集中后，枣庄台儿庄古城管理委员会依法行使相关法律、法规和规章规定的行政强制措施权和执法监督检查权。</w:t>
            </w:r>
          </w:p>
        </w:tc>
        <w:tc>
          <w:tcPr>
            <w:tcW w:w="156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41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50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申请人民法院强制执行</w:t>
            </w:r>
          </w:p>
        </w:tc>
        <w:tc>
          <w:tcPr>
            <w:tcW w:w="144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查封场所、设施</w:t>
            </w:r>
          </w:p>
        </w:tc>
        <w:tc>
          <w:tcPr>
            <w:tcW w:w="1200" w:type="dxa"/>
            <w:vAlign w:val="top"/>
          </w:tcPr>
          <w:p>
            <w:pPr>
              <w:rPr>
                <w:rFonts w:hint="eastAsia" w:ascii="Calibri" w:hAnsi="Calibri" w:eastAsia="宋体" w:cs="Times New Roman"/>
                <w:b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top"/>
          </w:tcPr>
          <w:p>
            <w:pPr>
              <w:jc w:val="cente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3</w:t>
            </w:r>
          </w:p>
        </w:tc>
        <w:tc>
          <w:tcPr>
            <w:tcW w:w="2824"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造成水污染逾期不采取治理措施的，可以指定有治理能力的单位代为治理，所需费用由违法者承担</w:t>
            </w:r>
          </w:p>
        </w:tc>
        <w:tc>
          <w:tcPr>
            <w:tcW w:w="3900" w:type="dxa"/>
            <w:vAlign w:val="center"/>
          </w:tcPr>
          <w:p>
            <w:pPr>
              <w:rPr>
                <w:rFonts w:hint="eastAsia" w:ascii="Calibri" w:hAnsi="Calibri" w:eastAsia="宋体" w:cs="Times New Roman"/>
                <w:b w:val="0"/>
                <w:kern w:val="2"/>
                <w:sz w:val="21"/>
                <w:szCs w:val="24"/>
                <w:vertAlign w:val="baseline"/>
                <w:lang w:val="en-US" w:eastAsia="zh-CN" w:bidi="ar-SA"/>
              </w:rPr>
            </w:pPr>
            <w:r>
              <w:rPr>
                <w:rFonts w:hint="eastAsia"/>
              </w:rPr>
              <w:t>《水污染防治法》（2008年2月28日中华人民共和国主席令第87号修订通过，2017年6月27日修正）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一）向水体排放油类、酸液、碱液的；（二）向水体排放剧毒废液，或者将含有汞、镉、砷、铬、铅、氰化物、黄磷等的可溶性剧毒废渣向水体排放、倾倒或者直接埋入地下的；（三）在水体清洗装贮过油类、有毒污染物的车辆或者容器的；（四）向水体排放、倾倒工业废渣、城镇垃圾或者其他废弃物，或者在江河、湖泊、运河、渠道、水库最高水位线以下的滩地、岸坡堆放、存贮固体废弃物或者其他污染物的；（五）向水体排放、倾倒放射性固体废物或者含有高放射性、中放射性物质的废水的；（六）违反国家有关规定或者标准，向水体排放含低放射性物质的废水、热废水或者含病原体的污水的；（七）未采取防渗漏等措施，或者未建设地下水水质监测井进行监测的；（八）加油站等的地下油罐未使用双层罐或者采取建造防渗池等其他有效措施，或者未进行防渗漏监测的；（九）未按照规定采取防护性措施，或者利用无防渗漏措施的沟渠、坑塘等输送或者存贮含有毒污染物的废水、含病原体的污水或者其他废弃物的。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山东省台儿庄古城保护管理条例》（2013年11月29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2015〕136号）枣庄台儿庄古城管理委员会，在台儿庄古城内集中行使下列具体职权：（五）环境保护管理方面法律、法规、规章规定的行政处罚权；上述行政处罚权相对集中后，枣庄台儿庄古城管理委员会依法行使相关法律、法规和规章规定的行政强制措施权和执法监督检查权。</w:t>
            </w:r>
          </w:p>
        </w:tc>
        <w:tc>
          <w:tcPr>
            <w:tcW w:w="156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41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50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申请人民法院强制执行</w:t>
            </w:r>
          </w:p>
        </w:tc>
        <w:tc>
          <w:tcPr>
            <w:tcW w:w="1440" w:type="dxa"/>
            <w:vAlign w:val="top"/>
          </w:tcPr>
          <w:p>
            <w:pPr>
              <w:rPr>
                <w:rFonts w:hint="eastAsia" w:ascii="Calibri" w:hAnsi="Calibri" w:eastAsia="宋体" w:cs="Times New Roman"/>
                <w:b w:val="0"/>
                <w:kern w:val="2"/>
                <w:sz w:val="21"/>
                <w:szCs w:val="24"/>
                <w:vertAlign w:val="baseline"/>
                <w:lang w:val="en-US" w:eastAsia="zh-CN" w:bidi="ar-SA"/>
              </w:rPr>
            </w:pPr>
          </w:p>
        </w:tc>
        <w:tc>
          <w:tcPr>
            <w:tcW w:w="1200" w:type="dxa"/>
            <w:vAlign w:val="top"/>
          </w:tcPr>
          <w:p>
            <w:pPr>
              <w:rPr>
                <w:rFonts w:hint="eastAsia" w:ascii="Calibri" w:hAnsi="Calibri" w:eastAsia="宋体" w:cs="Times New Roman"/>
                <w:b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600" w:type="dxa"/>
            <w:vAlign w:val="top"/>
          </w:tcPr>
          <w:p>
            <w:pPr>
              <w:jc w:val="cente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4</w:t>
            </w:r>
          </w:p>
        </w:tc>
        <w:tc>
          <w:tcPr>
            <w:tcW w:w="2824"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查封、扣押有证据证明不符合食品安全标准或者有证据证明存在安全隐患以及用于违法生产经营的食品、食品添加剂、食品相关产品</w:t>
            </w:r>
          </w:p>
        </w:tc>
        <w:tc>
          <w:tcPr>
            <w:tcW w:w="390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rPr>
              <w:t>《食品安全法》（2015年4月24日修订）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山东省台儿庄古城保护管理条例》（2013年11月29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2015〕136号）枣庄台儿庄古城管理委员会，在台儿庄古城内集中行使下列具体职权：（九）食品药品监督管理工作中有关食品安全管理方面法律、法规、规章规定的行政处罚权；上述行政处罚权相对集中后，枣庄台儿庄古城管理委员会依法行使相关法律、法规和规章规定的行政强制措施权和执法监督检查权。</w:t>
            </w:r>
          </w:p>
        </w:tc>
        <w:tc>
          <w:tcPr>
            <w:tcW w:w="156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41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500" w:type="dxa"/>
            <w:vAlign w:val="top"/>
          </w:tcPr>
          <w:p>
            <w:pPr>
              <w:rPr>
                <w:rFonts w:hint="eastAsia" w:ascii="Calibri" w:hAnsi="Calibri" w:eastAsia="宋体" w:cs="Times New Roman"/>
                <w:b w:val="0"/>
                <w:kern w:val="2"/>
                <w:sz w:val="21"/>
                <w:szCs w:val="24"/>
                <w:vertAlign w:val="baseline"/>
                <w:lang w:val="en-US" w:eastAsia="zh-CN" w:bidi="ar-SA"/>
              </w:rPr>
            </w:pPr>
          </w:p>
        </w:tc>
        <w:tc>
          <w:tcPr>
            <w:tcW w:w="144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查封财物、扣押财物</w:t>
            </w:r>
            <w:r>
              <w:rPr>
                <w:rFonts w:hint="eastAsia" w:ascii="Calibri" w:hAnsi="Calibri" w:eastAsia="宋体" w:cs="Times New Roman"/>
                <w:b w:val="0"/>
                <w:kern w:val="2"/>
                <w:sz w:val="21"/>
                <w:szCs w:val="24"/>
                <w:vertAlign w:val="baseline"/>
                <w:lang w:val="en-US" w:eastAsia="zh-CN" w:bidi="ar-SA"/>
              </w:rPr>
              <w:br w:type="textWrapping"/>
            </w:r>
          </w:p>
        </w:tc>
        <w:tc>
          <w:tcPr>
            <w:tcW w:w="1200" w:type="dxa"/>
            <w:vAlign w:val="top"/>
          </w:tcPr>
          <w:p>
            <w:pPr>
              <w:rPr>
                <w:rFonts w:hint="eastAsia" w:ascii="Calibri" w:hAnsi="Calibri" w:eastAsia="宋体" w:cs="Times New Roman"/>
                <w:b w:val="0"/>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0" w:type="dxa"/>
            <w:vAlign w:val="top"/>
          </w:tcPr>
          <w:p>
            <w:pPr>
              <w:jc w:val="center"/>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5</w:t>
            </w:r>
          </w:p>
        </w:tc>
        <w:tc>
          <w:tcPr>
            <w:tcW w:w="2824" w:type="dxa"/>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pPr>
            <w:r>
              <w:rPr>
                <w:rFonts w:hint="eastAsia"/>
              </w:rPr>
              <w:t>查封违法从事食品生产经营活动的场所</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Calibri" w:hAnsi="Calibri" w:eastAsia="宋体" w:cs="Times New Roman"/>
                <w:b w:val="0"/>
                <w:kern w:val="2"/>
                <w:sz w:val="21"/>
                <w:szCs w:val="24"/>
                <w:vertAlign w:val="baseline"/>
                <w:lang w:val="en-US" w:eastAsia="zh-CN" w:bidi="ar-SA"/>
              </w:rPr>
            </w:pPr>
          </w:p>
        </w:tc>
        <w:tc>
          <w:tcPr>
            <w:tcW w:w="3900" w:type="dxa"/>
            <w:vAlign w:val="top"/>
          </w:tcPr>
          <w:p>
            <w:pPr>
              <w:rPr>
                <w:rFonts w:hint="eastAsia" w:ascii="Calibri" w:hAnsi="Calibri" w:eastAsia="宋体" w:cs="Times New Roman"/>
                <w:b w:val="0"/>
                <w:kern w:val="2"/>
                <w:sz w:val="21"/>
                <w:szCs w:val="24"/>
                <w:vertAlign w:val="baseline"/>
                <w:lang w:val="en-US" w:eastAsia="zh-CN" w:bidi="ar-SA"/>
              </w:rPr>
            </w:pPr>
            <w:r>
              <w:rPr>
                <w:rFonts w:hint="eastAsia"/>
              </w:rPr>
              <w:t>《食品安全法》（2015年4月24日修订）第一百一十条：县级以上人民政府食品药品监督管理、质量监督部门履行各自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山东省台儿庄古城保护管理条例》（2013年11月29日山东省第十二届人民代表大会常务委员会第五次会议通过）第六条：台儿庄古城保护管理机构是枣庄市人民政府的派出机构，具体负责台儿庄古城保护管理工作，主要履行下列职责：（四）依法行使相对集中行政处罚权；《山东省人民政府关于在台儿庄古城开展相对集中行政处罚权工作的批复》（鲁政字〔2015〕136号）枣庄台儿庄古城管理委员会，在台儿庄古城内集中行使下列具体职权：（九）食品药品监督管理工作中有关食品安全管理方面法律、法规、规章规定的行政处罚权；上述行政处罚权相对集中后，枣庄台儿庄古城管理委员会依法行使相关法律、法规和规章规定的行政强制措施权和执法监督检查权。</w:t>
            </w:r>
          </w:p>
        </w:tc>
        <w:tc>
          <w:tcPr>
            <w:tcW w:w="156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60个工作日</w:t>
            </w:r>
          </w:p>
        </w:tc>
        <w:tc>
          <w:tcPr>
            <w:tcW w:w="141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60</w:t>
            </w:r>
            <w:bookmarkStart w:id="0" w:name="_GoBack"/>
            <w:bookmarkEnd w:id="0"/>
            <w:r>
              <w:rPr>
                <w:rFonts w:hint="eastAsia" w:ascii="Calibri" w:hAnsi="Calibri" w:eastAsia="宋体" w:cs="Times New Roman"/>
                <w:b w:val="0"/>
                <w:kern w:val="2"/>
                <w:sz w:val="21"/>
                <w:szCs w:val="24"/>
                <w:vertAlign w:val="baseline"/>
                <w:lang w:val="en-US" w:eastAsia="zh-CN" w:bidi="ar-SA"/>
              </w:rPr>
              <w:t>个工作日</w:t>
            </w:r>
          </w:p>
        </w:tc>
        <w:tc>
          <w:tcPr>
            <w:tcW w:w="150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Calibri" w:hAnsi="Calibri" w:eastAsia="宋体" w:cs="Times New Roman"/>
                <w:b w:val="0"/>
                <w:kern w:val="2"/>
                <w:sz w:val="21"/>
                <w:szCs w:val="24"/>
                <w:vertAlign w:val="baseline"/>
                <w:lang w:val="en-US" w:eastAsia="zh-CN" w:bidi="ar-SA"/>
              </w:rPr>
            </w:pPr>
          </w:p>
        </w:tc>
        <w:tc>
          <w:tcPr>
            <w:tcW w:w="1440" w:type="dxa"/>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Calibri" w:hAnsi="Calibri" w:eastAsia="宋体" w:cs="Times New Roman"/>
                <w:b w:val="0"/>
                <w:kern w:val="2"/>
                <w:sz w:val="21"/>
                <w:szCs w:val="24"/>
                <w:vertAlign w:val="baseline"/>
                <w:lang w:val="en-US" w:eastAsia="zh-CN" w:bidi="ar-SA"/>
              </w:rPr>
            </w:pPr>
            <w:r>
              <w:rPr>
                <w:rFonts w:hint="eastAsia" w:ascii="Calibri" w:hAnsi="Calibri" w:eastAsia="宋体" w:cs="Times New Roman"/>
                <w:b w:val="0"/>
                <w:kern w:val="2"/>
                <w:sz w:val="21"/>
                <w:szCs w:val="24"/>
                <w:vertAlign w:val="baseline"/>
                <w:lang w:val="en-US" w:eastAsia="zh-CN" w:bidi="ar-SA"/>
              </w:rPr>
              <w:t>查封场所、设施</w:t>
            </w:r>
          </w:p>
        </w:tc>
        <w:tc>
          <w:tcPr>
            <w:tcW w:w="1200" w:type="dxa"/>
            <w:vAlign w:val="top"/>
          </w:tcPr>
          <w:p>
            <w:pPr>
              <w:rPr>
                <w:rFonts w:hint="eastAsia" w:ascii="Calibri" w:hAnsi="Calibri" w:eastAsia="宋体" w:cs="Times New Roman"/>
                <w:b w:val="0"/>
                <w:kern w:val="2"/>
                <w:sz w:val="21"/>
                <w:szCs w:val="24"/>
                <w:vertAlign w:val="baseline"/>
                <w:lang w:val="en-US" w:eastAsia="zh-CN" w:bidi="ar-SA"/>
              </w:rPr>
            </w:pPr>
          </w:p>
        </w:tc>
      </w:tr>
    </w:tbl>
    <w:p>
      <w:pPr>
        <w:rPr>
          <w:rFonts w:hint="eastAsia" w:ascii="Calibri" w:hAnsi="Calibri" w:eastAsia="宋体" w:cs="Times New Roman"/>
          <w:b w:val="0"/>
          <w:kern w:val="2"/>
          <w:sz w:val="21"/>
          <w:szCs w:val="24"/>
          <w:vertAlign w:val="baseline"/>
          <w:lang w:val="en-US" w:eastAsia="zh-CN" w:bidi="ar-SA"/>
        </w:rPr>
      </w:pPr>
    </w:p>
    <w:sectPr>
      <w:footerReference r:id="rId3" w:type="default"/>
      <w:footerReference r:id="rId4" w:type="even"/>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96499"/>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4596499"/>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719580489"/>
                          </w:sdtPr>
                          <w:sdtEndPr>
                            <w:rPr>
                              <w:sz w:val="21"/>
                              <w:szCs w:val="21"/>
                            </w:rPr>
                          </w:sdtEndPr>
                          <w:sdtContent>
                            <w:p>
                              <w:pPr>
                                <w:pStyle w:val="4"/>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rPr>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NdI4cAgAAIwQAAA4AAABkcnMvZTJvRG9jLnhtbK1Ty47TMBTdI/EP&#10;lvc0aQdGVd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VDXSOHAIAACMEAAAO&#10;AAAAAAAAAAEAIAAAAB8BAABkcnMvZTJvRG9jLnhtbFBLBQYAAAAABgAGAFkBAACtBQAAAAA=&#10;">
              <v:fill on="f" focussize="0,0"/>
              <v:stroke on="f" weight="0.5pt"/>
              <v:imagedata o:title=""/>
              <o:lock v:ext="edit" aspectratio="f"/>
              <v:textbox inset="0mm,0mm,0mm,0mm" style="mso-fit-shape-to-text:t;">
                <w:txbxContent>
                  <w:sdt>
                    <w:sdtPr>
                      <w:id w:val="-1719580489"/>
                    </w:sdtPr>
                    <w:sdtEndPr>
                      <w:rPr>
                        <w:sz w:val="21"/>
                        <w:szCs w:val="21"/>
                      </w:rPr>
                    </w:sdtEndPr>
                    <w:sdtContent>
                      <w:p>
                        <w:pPr>
                          <w:pStyle w:val="4"/>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p>
                    <w:pPr>
                      <w:rPr>
                        <w:szCs w:val="21"/>
                      </w:rPr>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311B"/>
    <w:multiLevelType w:val="multilevel"/>
    <w:tmpl w:val="2E05311B"/>
    <w:lvl w:ilvl="0" w:tentative="0">
      <w:start w:val="1"/>
      <w:numFmt w:val="chineseCountingThousand"/>
      <w:pStyle w:val="17"/>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C5"/>
    <w:rsid w:val="00024885"/>
    <w:rsid w:val="00026899"/>
    <w:rsid w:val="000332D8"/>
    <w:rsid w:val="00071923"/>
    <w:rsid w:val="00072FE7"/>
    <w:rsid w:val="0007698B"/>
    <w:rsid w:val="000837A1"/>
    <w:rsid w:val="000A12CC"/>
    <w:rsid w:val="000A71F2"/>
    <w:rsid w:val="000B4D89"/>
    <w:rsid w:val="000B5416"/>
    <w:rsid w:val="0010203A"/>
    <w:rsid w:val="00104179"/>
    <w:rsid w:val="001701BB"/>
    <w:rsid w:val="00175438"/>
    <w:rsid w:val="001813CD"/>
    <w:rsid w:val="001905E2"/>
    <w:rsid w:val="001C26AB"/>
    <w:rsid w:val="001C76D9"/>
    <w:rsid w:val="001D2FEB"/>
    <w:rsid w:val="001D37C6"/>
    <w:rsid w:val="001F028B"/>
    <w:rsid w:val="00205703"/>
    <w:rsid w:val="00216570"/>
    <w:rsid w:val="00235D0B"/>
    <w:rsid w:val="0024396D"/>
    <w:rsid w:val="002604B0"/>
    <w:rsid w:val="00267323"/>
    <w:rsid w:val="0027343A"/>
    <w:rsid w:val="00281F6F"/>
    <w:rsid w:val="002A74A6"/>
    <w:rsid w:val="002F11FE"/>
    <w:rsid w:val="003111BA"/>
    <w:rsid w:val="003122D5"/>
    <w:rsid w:val="00312CA9"/>
    <w:rsid w:val="0033631D"/>
    <w:rsid w:val="00361EE7"/>
    <w:rsid w:val="003957CA"/>
    <w:rsid w:val="003D396C"/>
    <w:rsid w:val="003D60E5"/>
    <w:rsid w:val="003E3BBA"/>
    <w:rsid w:val="00402AB3"/>
    <w:rsid w:val="00414646"/>
    <w:rsid w:val="00414A80"/>
    <w:rsid w:val="004427CF"/>
    <w:rsid w:val="004442C5"/>
    <w:rsid w:val="00446C3E"/>
    <w:rsid w:val="00465851"/>
    <w:rsid w:val="004970A7"/>
    <w:rsid w:val="004D3924"/>
    <w:rsid w:val="004E340B"/>
    <w:rsid w:val="004F462C"/>
    <w:rsid w:val="00505FF0"/>
    <w:rsid w:val="0051257E"/>
    <w:rsid w:val="00512DBE"/>
    <w:rsid w:val="005176E8"/>
    <w:rsid w:val="0052709A"/>
    <w:rsid w:val="00536E85"/>
    <w:rsid w:val="00542A8C"/>
    <w:rsid w:val="005673B7"/>
    <w:rsid w:val="00574421"/>
    <w:rsid w:val="00580DBE"/>
    <w:rsid w:val="005B3A16"/>
    <w:rsid w:val="005C13E3"/>
    <w:rsid w:val="005E11FD"/>
    <w:rsid w:val="005F51D2"/>
    <w:rsid w:val="006072D2"/>
    <w:rsid w:val="006127D3"/>
    <w:rsid w:val="00630A75"/>
    <w:rsid w:val="00647FB7"/>
    <w:rsid w:val="00651276"/>
    <w:rsid w:val="006624AE"/>
    <w:rsid w:val="006756EC"/>
    <w:rsid w:val="00681513"/>
    <w:rsid w:val="006A1BE1"/>
    <w:rsid w:val="006B0A1C"/>
    <w:rsid w:val="006B4BBC"/>
    <w:rsid w:val="006D1B1E"/>
    <w:rsid w:val="006E1BCD"/>
    <w:rsid w:val="006E3965"/>
    <w:rsid w:val="006F5D60"/>
    <w:rsid w:val="00701727"/>
    <w:rsid w:val="00730AFA"/>
    <w:rsid w:val="00733813"/>
    <w:rsid w:val="007345DF"/>
    <w:rsid w:val="00735DF9"/>
    <w:rsid w:val="007B4C8C"/>
    <w:rsid w:val="007D13FA"/>
    <w:rsid w:val="007F56E6"/>
    <w:rsid w:val="00802F21"/>
    <w:rsid w:val="008419DF"/>
    <w:rsid w:val="008453A3"/>
    <w:rsid w:val="00847008"/>
    <w:rsid w:val="00881708"/>
    <w:rsid w:val="0088609D"/>
    <w:rsid w:val="00887E48"/>
    <w:rsid w:val="0089101F"/>
    <w:rsid w:val="008F461B"/>
    <w:rsid w:val="0092475F"/>
    <w:rsid w:val="00925903"/>
    <w:rsid w:val="00925CCF"/>
    <w:rsid w:val="009260D1"/>
    <w:rsid w:val="00945429"/>
    <w:rsid w:val="00991796"/>
    <w:rsid w:val="009D2234"/>
    <w:rsid w:val="00A2066D"/>
    <w:rsid w:val="00A27F93"/>
    <w:rsid w:val="00A35EA5"/>
    <w:rsid w:val="00A517B4"/>
    <w:rsid w:val="00A60977"/>
    <w:rsid w:val="00A849BF"/>
    <w:rsid w:val="00A91298"/>
    <w:rsid w:val="00A93D75"/>
    <w:rsid w:val="00AA39CF"/>
    <w:rsid w:val="00AA5555"/>
    <w:rsid w:val="00AB6EF6"/>
    <w:rsid w:val="00AB7222"/>
    <w:rsid w:val="00AC12BD"/>
    <w:rsid w:val="00AC77D2"/>
    <w:rsid w:val="00AD299A"/>
    <w:rsid w:val="00AD529B"/>
    <w:rsid w:val="00AD61E3"/>
    <w:rsid w:val="00AE2A79"/>
    <w:rsid w:val="00B04FA7"/>
    <w:rsid w:val="00B054D2"/>
    <w:rsid w:val="00B22FD5"/>
    <w:rsid w:val="00B33E7C"/>
    <w:rsid w:val="00B34FE9"/>
    <w:rsid w:val="00B57179"/>
    <w:rsid w:val="00B87A87"/>
    <w:rsid w:val="00BC0297"/>
    <w:rsid w:val="00BE2E2B"/>
    <w:rsid w:val="00BF6987"/>
    <w:rsid w:val="00C04D43"/>
    <w:rsid w:val="00C52448"/>
    <w:rsid w:val="00C551BF"/>
    <w:rsid w:val="00C60F21"/>
    <w:rsid w:val="00C63296"/>
    <w:rsid w:val="00C77D9B"/>
    <w:rsid w:val="00C85F51"/>
    <w:rsid w:val="00C86CD4"/>
    <w:rsid w:val="00CC474E"/>
    <w:rsid w:val="00CE5CC4"/>
    <w:rsid w:val="00D051CF"/>
    <w:rsid w:val="00D10B3F"/>
    <w:rsid w:val="00D20605"/>
    <w:rsid w:val="00D2109D"/>
    <w:rsid w:val="00D26EC0"/>
    <w:rsid w:val="00D3526E"/>
    <w:rsid w:val="00D55030"/>
    <w:rsid w:val="00D671A5"/>
    <w:rsid w:val="00D90650"/>
    <w:rsid w:val="00D97076"/>
    <w:rsid w:val="00DC06AC"/>
    <w:rsid w:val="00DD12CC"/>
    <w:rsid w:val="00DD5C12"/>
    <w:rsid w:val="00E01A76"/>
    <w:rsid w:val="00E04432"/>
    <w:rsid w:val="00E13DA0"/>
    <w:rsid w:val="00E25650"/>
    <w:rsid w:val="00E261D9"/>
    <w:rsid w:val="00EB5649"/>
    <w:rsid w:val="00ED3245"/>
    <w:rsid w:val="00F1730B"/>
    <w:rsid w:val="00F7167C"/>
    <w:rsid w:val="00F86018"/>
    <w:rsid w:val="00FF1CAD"/>
    <w:rsid w:val="01670966"/>
    <w:rsid w:val="10621A4C"/>
    <w:rsid w:val="1BA460CB"/>
    <w:rsid w:val="20B16B6B"/>
    <w:rsid w:val="217549EE"/>
    <w:rsid w:val="2C2C5E6B"/>
    <w:rsid w:val="2C32430A"/>
    <w:rsid w:val="3620574E"/>
    <w:rsid w:val="3BAE2988"/>
    <w:rsid w:val="3C050862"/>
    <w:rsid w:val="411C1E2C"/>
    <w:rsid w:val="49D96588"/>
    <w:rsid w:val="4C9077FB"/>
    <w:rsid w:val="4E170B70"/>
    <w:rsid w:val="5A25480E"/>
    <w:rsid w:val="5FFC7880"/>
    <w:rsid w:val="61AB73F1"/>
    <w:rsid w:val="64687EFC"/>
    <w:rsid w:val="67F4246A"/>
    <w:rsid w:val="686A26F7"/>
    <w:rsid w:val="69FC01DE"/>
    <w:rsid w:val="6AB76570"/>
    <w:rsid w:val="6FD87E82"/>
    <w:rsid w:val="715260D2"/>
    <w:rsid w:val="723D17D2"/>
    <w:rsid w:val="764D0328"/>
    <w:rsid w:val="77487938"/>
    <w:rsid w:val="7E13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Lines="0" w:beforeAutospacing="1" w:after="100" w:afterLines="0" w:afterAutospacing="1"/>
      <w:jc w:val="left"/>
    </w:pPr>
    <w:rPr>
      <w:rFonts w:hint="eastAsia" w:ascii="宋体" w:hAnsi="宋体" w:eastAsia="宋体" w:cs="宋体"/>
      <w:b/>
      <w:kern w:val="44"/>
      <w:sz w:val="48"/>
      <w:szCs w:val="48"/>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szCs w:val="20"/>
      <w:lang w:val="en-US" w:eastAsia="zh-CN" w:bidi="ar-SA"/>
    </w:rPr>
  </w:style>
  <w:style w:type="paragraph" w:styleId="7">
    <w:name w:val="Title"/>
    <w:basedOn w:val="1"/>
    <w:next w:val="1"/>
    <w:link w:val="16"/>
    <w:qFormat/>
    <w:uiPriority w:val="0"/>
    <w:pPr>
      <w:spacing w:before="240" w:after="60"/>
      <w:jc w:val="center"/>
      <w:outlineLvl w:val="0"/>
    </w:pPr>
    <w:rPr>
      <w:rFonts w:eastAsia="华文中宋" w:asciiTheme="majorHAnsi" w:hAnsiTheme="majorHAnsi" w:cstheme="majorBidi"/>
      <w:b/>
      <w:bCs/>
      <w:sz w:val="44"/>
      <w:szCs w:val="32"/>
    </w:rPr>
  </w:style>
  <w:style w:type="character" w:styleId="9">
    <w:name w:val="Strong"/>
    <w:basedOn w:val="8"/>
    <w:qFormat/>
    <w:uiPriority w:val="22"/>
    <w:rPr>
      <w:b/>
    </w:rPr>
  </w:style>
  <w:style w:type="character" w:styleId="10">
    <w:name w:val="FollowedHyperlink"/>
    <w:basedOn w:val="8"/>
    <w:semiHidden/>
    <w:unhideWhenUsed/>
    <w:qFormat/>
    <w:uiPriority w:val="99"/>
    <w:rPr>
      <w:rFonts w:hint="eastAsia" w:ascii="宋体" w:hAnsi="宋体" w:eastAsia="宋体" w:cs="宋体"/>
      <w:color w:val="4C4C4C"/>
      <w:u w:val="none"/>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table" w:styleId="13">
    <w:name w:val="Table Grid"/>
    <w:basedOn w:val="12"/>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8"/>
    <w:link w:val="4"/>
    <w:qFormat/>
    <w:uiPriority w:val="99"/>
    <w:rPr>
      <w:sz w:val="18"/>
      <w:szCs w:val="18"/>
    </w:rPr>
  </w:style>
  <w:style w:type="character" w:customStyle="1" w:styleId="15">
    <w:name w:val="页眉 Char"/>
    <w:basedOn w:val="8"/>
    <w:link w:val="5"/>
    <w:qFormat/>
    <w:uiPriority w:val="0"/>
    <w:rPr>
      <w:sz w:val="18"/>
      <w:szCs w:val="18"/>
    </w:rPr>
  </w:style>
  <w:style w:type="character" w:customStyle="1" w:styleId="16">
    <w:name w:val="标题 Char"/>
    <w:basedOn w:val="8"/>
    <w:link w:val="7"/>
    <w:qFormat/>
    <w:uiPriority w:val="0"/>
    <w:rPr>
      <w:rFonts w:eastAsia="华文中宋" w:asciiTheme="majorHAnsi" w:hAnsiTheme="majorHAnsi" w:cstheme="majorBidi"/>
      <w:b/>
      <w:bCs/>
      <w:sz w:val="44"/>
      <w:szCs w:val="32"/>
    </w:rPr>
  </w:style>
  <w:style w:type="paragraph" w:customStyle="1" w:styleId="17">
    <w:name w:val="一、报送范围"/>
    <w:qFormat/>
    <w:uiPriority w:val="0"/>
    <w:pPr>
      <w:numPr>
        <w:ilvl w:val="0"/>
        <w:numId w:val="1"/>
      </w:numPr>
      <w:spacing w:line="360" w:lineRule="auto"/>
      <w:ind w:left="0" w:firstLine="200" w:firstLineChars="200"/>
    </w:pPr>
    <w:rPr>
      <w:rFonts w:ascii="Arial" w:hAnsi="Arial" w:eastAsia="黑体" w:cstheme="majorBidi"/>
      <w:bCs/>
      <w:kern w:val="2"/>
      <w:sz w:val="28"/>
      <w:szCs w:val="28"/>
      <w:lang w:val="en-US" w:eastAsia="zh-CN" w:bidi="ar-SA"/>
    </w:rPr>
  </w:style>
  <w:style w:type="paragraph" w:customStyle="1" w:styleId="18">
    <w:name w:val="列出段落1"/>
    <w:basedOn w:val="1"/>
    <w:qFormat/>
    <w:uiPriority w:val="34"/>
    <w:pPr>
      <w:ind w:firstLine="420" w:firstLineChars="200"/>
    </w:pPr>
  </w:style>
  <w:style w:type="character" w:customStyle="1" w:styleId="19">
    <w:name w:val="批注框文本 Char"/>
    <w:basedOn w:val="8"/>
    <w:link w:val="3"/>
    <w:semiHidden/>
    <w:qFormat/>
    <w:uiPriority w:val="99"/>
    <w:rPr>
      <w:sz w:val="18"/>
      <w:szCs w:val="18"/>
    </w:rPr>
  </w:style>
  <w:style w:type="paragraph" w:customStyle="1" w:styleId="20">
    <w:name w:val="p0"/>
    <w:basedOn w:val="1"/>
    <w:qFormat/>
    <w:uiPriority w:val="0"/>
    <w:pPr>
      <w:widowControl/>
    </w:pPr>
    <w:rPr>
      <w:rFonts w:ascii="Calibri" w:hAnsi="Calibri" w:eastAsia="宋体" w:cs="宋体"/>
      <w:kern w:val="0"/>
      <w:szCs w:val="21"/>
    </w:rPr>
  </w:style>
  <w:style w:type="character" w:customStyle="1" w:styleId="21">
    <w:name w:val="bsharetext"/>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A64212-11DB-439A-BD6E-51911CCB9E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395</Words>
  <Characters>2252</Characters>
  <Lines>18</Lines>
  <Paragraphs>5</Paragraphs>
  <TotalTime>0</TotalTime>
  <ScaleCrop>false</ScaleCrop>
  <LinksUpToDate>false</LinksUpToDate>
  <CharactersWithSpaces>2642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2018-09-05T03:13:00Z</dcterms:created>
  <dc:creator>Windows 用户</dc:creator>
  <cp:lastModifiedBy>Administrator</cp:lastModifiedBy>
  <dcterms:modified xsi:type="dcterms:W3CDTF">2018-10-10T02:35:41Z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